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3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330"/>
        <w:gridCol w:w="1005"/>
        <w:gridCol w:w="7095"/>
      </w:tblGrid>
      <w:tr w:rsidR="004B4F03" w14:paraId="4402BB59" w14:textId="77777777" w:rsidTr="00427632">
        <w:trPr>
          <w:trHeight w:val="890"/>
        </w:trPr>
        <w:tc>
          <w:tcPr>
            <w:tcW w:w="11430" w:type="dxa"/>
            <w:gridSpan w:val="3"/>
            <w:tcBorders>
              <w:bottom w:val="single" w:sz="4" w:space="0" w:color="auto"/>
            </w:tcBorders>
            <w:shd w:val="clear" w:color="auto" w:fill="2F5496" w:themeFill="accent1" w:themeFillShade="BF"/>
          </w:tcPr>
          <w:p w14:paraId="22DD9F2D" w14:textId="77777777" w:rsidR="00B145A4" w:rsidRPr="001B3CAC" w:rsidRDefault="00677B81" w:rsidP="27A0DFB1">
            <w:pPr>
              <w:jc w:val="center"/>
              <w:rPr>
                <w:b/>
                <w:bCs/>
                <w:smallCaps/>
                <w:color w:val="FFFFFF" w:themeColor="background1"/>
                <w:sz w:val="36"/>
                <w:szCs w:val="36"/>
              </w:rPr>
            </w:pPr>
            <w:r w:rsidRPr="001B3CAC">
              <w:rPr>
                <w:b/>
                <w:bCs/>
                <w:smallCaps/>
                <w:color w:val="FFFFFF" w:themeColor="background1"/>
                <w:sz w:val="36"/>
                <w:szCs w:val="36"/>
              </w:rPr>
              <w:t xml:space="preserve">Academic </w:t>
            </w:r>
            <w:r w:rsidR="00894066" w:rsidRPr="001B3CAC">
              <w:rPr>
                <w:b/>
                <w:bCs/>
                <w:smallCaps/>
                <w:color w:val="FFFFFF" w:themeColor="background1"/>
                <w:sz w:val="36"/>
                <w:szCs w:val="36"/>
              </w:rPr>
              <w:t xml:space="preserve">Program </w:t>
            </w:r>
            <w:r w:rsidRPr="001B3CAC">
              <w:rPr>
                <w:b/>
                <w:bCs/>
                <w:smallCaps/>
                <w:color w:val="FFFFFF" w:themeColor="background1"/>
                <w:sz w:val="36"/>
                <w:szCs w:val="36"/>
              </w:rPr>
              <w:t xml:space="preserve">Viability </w:t>
            </w:r>
          </w:p>
          <w:p w14:paraId="546AF8E7" w14:textId="4B079E0E" w:rsidR="004B4F03" w:rsidRPr="00536293" w:rsidRDefault="00B145A4" w:rsidP="27A0DFB1">
            <w:pPr>
              <w:jc w:val="center"/>
              <w:rPr>
                <w:b/>
                <w:bCs/>
                <w:smallCap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 xml:space="preserve">Program </w:t>
            </w:r>
            <w:r w:rsidR="005471B8"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 xml:space="preserve">Status and </w:t>
            </w:r>
            <w:r w:rsidR="00894066"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 xml:space="preserve">Removal </w:t>
            </w:r>
            <w:r w:rsidR="4C86C20C" w:rsidRPr="27A0DFB1"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Justification</w:t>
            </w:r>
            <w:r w:rsidR="00A72593"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 xml:space="preserve"> Codes</w:t>
            </w:r>
          </w:p>
          <w:p w14:paraId="5A68C026" w14:textId="332EA448" w:rsidR="004B4F03" w:rsidRPr="00536293" w:rsidRDefault="64A85B33" w:rsidP="00850DDB">
            <w:pPr>
              <w:jc w:val="center"/>
              <w:rPr>
                <w:b/>
                <w:bCs/>
                <w:smallCaps/>
                <w:color w:val="FFFFFF" w:themeColor="background1"/>
                <w:sz w:val="28"/>
                <w:szCs w:val="28"/>
              </w:rPr>
            </w:pPr>
            <w:r w:rsidRPr="27A0DFB1"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Academic Year 202</w:t>
            </w:r>
            <w:r w:rsidR="00AD5658"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4</w:t>
            </w:r>
            <w:r w:rsidRPr="27A0DFB1"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-202</w:t>
            </w:r>
            <w:r w:rsidR="00AD5658">
              <w:rPr>
                <w:b/>
                <w:bCs/>
                <w:smallCaps/>
                <w:color w:val="FFFFFF" w:themeColor="background1"/>
                <w:sz w:val="32"/>
                <w:szCs w:val="32"/>
              </w:rPr>
              <w:t>5</w:t>
            </w:r>
          </w:p>
        </w:tc>
      </w:tr>
      <w:tr w:rsidR="00FE44C5" w14:paraId="38071B69" w14:textId="77777777" w:rsidTr="00CE5C38">
        <w:tc>
          <w:tcPr>
            <w:tcW w:w="3330" w:type="dxa"/>
            <w:tcBorders>
              <w:top w:val="single" w:sz="4" w:space="0" w:color="auto"/>
            </w:tcBorders>
            <w:shd w:val="clear" w:color="auto" w:fill="2F5496" w:themeFill="accent1" w:themeFillShade="BF"/>
            <w:vAlign w:val="center"/>
          </w:tcPr>
          <w:p w14:paraId="37DA0DB7" w14:textId="72A15247" w:rsidR="00B87B4B" w:rsidRPr="00186A55" w:rsidRDefault="00C062BA" w:rsidP="00B87B4B">
            <w:pPr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40417B1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Program</w:t>
            </w:r>
            <w:r w:rsidR="58E6C239" w:rsidRPr="40417B1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Viability</w:t>
            </w:r>
            <w:r w:rsidRPr="40417B1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Status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2F5496" w:themeFill="accent1" w:themeFillShade="BF"/>
            <w:vAlign w:val="center"/>
          </w:tcPr>
          <w:p w14:paraId="434CEACA" w14:textId="37517AE7" w:rsidR="00B87B4B" w:rsidRPr="00186A55" w:rsidRDefault="00B87B4B" w:rsidP="00B87B4B">
            <w:pPr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186A55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Code</w:t>
            </w:r>
            <w:r w:rsidR="009B125C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7095" w:type="dxa"/>
            <w:tcBorders>
              <w:top w:val="single" w:sz="4" w:space="0" w:color="auto"/>
            </w:tcBorders>
            <w:shd w:val="clear" w:color="auto" w:fill="2F5496" w:themeFill="accent1" w:themeFillShade="BF"/>
            <w:vAlign w:val="center"/>
          </w:tcPr>
          <w:p w14:paraId="78D821E5" w14:textId="387C4F9C" w:rsidR="00B87B4B" w:rsidRPr="00186A55" w:rsidRDefault="00230DCF" w:rsidP="00B87B4B">
            <w:pPr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00186A55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Definition</w:t>
            </w:r>
            <w:r w:rsidR="00201B08" w:rsidRPr="00186A55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00817484" w14:paraId="1C3667B8" w14:textId="77777777" w:rsidTr="00CE5C38">
        <w:trPr>
          <w:trHeight w:val="70"/>
        </w:trPr>
        <w:tc>
          <w:tcPr>
            <w:tcW w:w="3330" w:type="dxa"/>
            <w:vAlign w:val="center"/>
          </w:tcPr>
          <w:p w14:paraId="4E4BCAFA" w14:textId="15E0EEA5" w:rsidR="00817484" w:rsidRPr="27A0DFB1" w:rsidRDefault="00817484" w:rsidP="00817484">
            <w:pPr>
              <w:rPr>
                <w:b/>
                <w:bCs/>
                <w:smallCaps/>
              </w:rPr>
            </w:pPr>
            <w:r w:rsidRPr="27A0DFB1">
              <w:rPr>
                <w:b/>
                <w:bCs/>
                <w:smallCaps/>
              </w:rPr>
              <w:t>New Program</w:t>
            </w:r>
          </w:p>
        </w:tc>
        <w:tc>
          <w:tcPr>
            <w:tcW w:w="1005" w:type="dxa"/>
          </w:tcPr>
          <w:p w14:paraId="4CB6AB04" w14:textId="347F1DFA" w:rsidR="00817484" w:rsidRDefault="00817484" w:rsidP="00817484">
            <w:pPr>
              <w:jc w:val="center"/>
            </w:pPr>
            <w:r>
              <w:t>A</w:t>
            </w:r>
          </w:p>
        </w:tc>
        <w:tc>
          <w:tcPr>
            <w:tcW w:w="7095" w:type="dxa"/>
          </w:tcPr>
          <w:p w14:paraId="16CB9C43" w14:textId="519B45A3" w:rsidR="00817484" w:rsidRDefault="00817484" w:rsidP="40417B1B">
            <w:r>
              <w:t>New program</w:t>
            </w:r>
            <w:r w:rsidR="5793D989">
              <w:t xml:space="preserve">s are </w:t>
            </w:r>
            <w:r>
              <w:t>not considered for viability. Associate and below programs are not considered for viability until after three (3) years</w:t>
            </w:r>
            <w:r w:rsidR="26433C5E">
              <w:t xml:space="preserve"> of the </w:t>
            </w:r>
            <w:r w:rsidR="26C2736F">
              <w:t xml:space="preserve">"Program Approval Effective Date.” </w:t>
            </w:r>
            <w:r>
              <w:t>Bachelor and above programs are not considered for viability until after five (5) years</w:t>
            </w:r>
            <w:r w:rsidR="6E22B169">
              <w:t xml:space="preserve"> of the "Program Approval Effective Date.”</w:t>
            </w:r>
          </w:p>
        </w:tc>
      </w:tr>
      <w:tr w:rsidR="00817484" w14:paraId="156BF613" w14:textId="77777777" w:rsidTr="00CE5C38">
        <w:trPr>
          <w:trHeight w:val="70"/>
        </w:trPr>
        <w:tc>
          <w:tcPr>
            <w:tcW w:w="3330" w:type="dxa"/>
            <w:vAlign w:val="center"/>
          </w:tcPr>
          <w:p w14:paraId="6183210A" w14:textId="03501493" w:rsidR="00817484" w:rsidRDefault="00817484" w:rsidP="00817484">
            <w:pPr>
              <w:rPr>
                <w:b/>
                <w:bCs/>
                <w:smallCaps/>
              </w:rPr>
            </w:pPr>
            <w:r w:rsidRPr="27A0DFB1">
              <w:rPr>
                <w:b/>
                <w:bCs/>
                <w:smallCaps/>
              </w:rPr>
              <w:t>Viable</w:t>
            </w:r>
          </w:p>
        </w:tc>
        <w:tc>
          <w:tcPr>
            <w:tcW w:w="1005" w:type="dxa"/>
          </w:tcPr>
          <w:p w14:paraId="4F97EEB9" w14:textId="0EE84817" w:rsidR="00817484" w:rsidRDefault="00817484" w:rsidP="00817484">
            <w:pPr>
              <w:jc w:val="center"/>
            </w:pPr>
            <w:r>
              <w:t>V</w:t>
            </w:r>
          </w:p>
        </w:tc>
        <w:tc>
          <w:tcPr>
            <w:tcW w:w="7095" w:type="dxa"/>
          </w:tcPr>
          <w:p w14:paraId="3E91182B" w14:textId="0DF7760F" w:rsidR="00817484" w:rsidRDefault="00817484" w:rsidP="00817484">
            <w:r>
              <w:t>Program meets viability standard.</w:t>
            </w:r>
          </w:p>
        </w:tc>
      </w:tr>
      <w:tr w:rsidR="00842FD7" w14:paraId="139C7411" w14:textId="77777777" w:rsidTr="00CE5C38">
        <w:trPr>
          <w:trHeight w:val="70"/>
        </w:trPr>
        <w:tc>
          <w:tcPr>
            <w:tcW w:w="3330" w:type="dxa"/>
            <w:shd w:val="clear" w:color="auto" w:fill="FFFFFF" w:themeFill="background1"/>
            <w:vAlign w:val="center"/>
          </w:tcPr>
          <w:p w14:paraId="099D5DDC" w14:textId="6127AEB4" w:rsidR="00842FD7" w:rsidRPr="00332390" w:rsidRDefault="00842FD7" w:rsidP="00842FD7">
            <w:pPr>
              <w:rPr>
                <w:b/>
                <w:bCs/>
                <w:smallCaps/>
              </w:rPr>
            </w:pPr>
            <w:r w:rsidRPr="00332390">
              <w:rPr>
                <w:b/>
                <w:bCs/>
                <w:smallCaps/>
              </w:rPr>
              <w:t>Exemp</w:t>
            </w:r>
            <w:r w:rsidR="00371DCF" w:rsidRPr="00332390">
              <w:rPr>
                <w:b/>
                <w:bCs/>
                <w:smallCaps/>
              </w:rPr>
              <w:t>t</w:t>
            </w:r>
          </w:p>
        </w:tc>
        <w:tc>
          <w:tcPr>
            <w:tcW w:w="1005" w:type="dxa"/>
            <w:shd w:val="clear" w:color="auto" w:fill="FFFFFF" w:themeFill="background1"/>
          </w:tcPr>
          <w:p w14:paraId="75268122" w14:textId="0286FDDC" w:rsidR="00842FD7" w:rsidRPr="00332390" w:rsidRDefault="00842FD7" w:rsidP="00842FD7">
            <w:pPr>
              <w:jc w:val="center"/>
            </w:pPr>
            <w:r w:rsidRPr="00332390">
              <w:t>E</w:t>
            </w:r>
          </w:p>
        </w:tc>
        <w:tc>
          <w:tcPr>
            <w:tcW w:w="7095" w:type="dxa"/>
            <w:shd w:val="clear" w:color="auto" w:fill="FFFFFF" w:themeFill="background1"/>
          </w:tcPr>
          <w:p w14:paraId="45D1905F" w14:textId="3983283E" w:rsidR="00842FD7" w:rsidRPr="00332390" w:rsidRDefault="00371DCF" w:rsidP="00842FD7">
            <w:r w:rsidRPr="00332390">
              <w:t xml:space="preserve">Program is exempt from </w:t>
            </w:r>
            <w:r w:rsidR="00AE4BA9" w:rsidRPr="00332390">
              <w:t>the program viability standards</w:t>
            </w:r>
            <w:r w:rsidR="0018428E">
              <w:t xml:space="preserve">, such as </w:t>
            </w:r>
            <w:r w:rsidR="007F57C6">
              <w:t>ADHE</w:t>
            </w:r>
            <w:r w:rsidR="00EA7463">
              <w:t xml:space="preserve"> statewide initiated partnerships and General Education, Criminal Justice Institute partnership programs, AAT, General Technology, Liberal Arts</w:t>
            </w:r>
            <w:r w:rsidR="0018428E">
              <w:t>.</w:t>
            </w:r>
          </w:p>
        </w:tc>
      </w:tr>
      <w:tr w:rsidR="00655222" w14:paraId="233B78DC" w14:textId="77777777" w:rsidTr="00CE5C38">
        <w:trPr>
          <w:trHeight w:val="70"/>
        </w:trPr>
        <w:tc>
          <w:tcPr>
            <w:tcW w:w="3330" w:type="dxa"/>
            <w:vAlign w:val="center"/>
          </w:tcPr>
          <w:p w14:paraId="729AAA47" w14:textId="5B56F379" w:rsidR="00655222" w:rsidRPr="27A0DFB1" w:rsidRDefault="00655222" w:rsidP="00842FD7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Non-Viable</w:t>
            </w:r>
          </w:p>
        </w:tc>
        <w:tc>
          <w:tcPr>
            <w:tcW w:w="1005" w:type="dxa"/>
          </w:tcPr>
          <w:p w14:paraId="32836A44" w14:textId="31C75348" w:rsidR="00655222" w:rsidRDefault="00655222" w:rsidP="00842FD7">
            <w:pPr>
              <w:jc w:val="center"/>
            </w:pPr>
            <w:r>
              <w:t>N</w:t>
            </w:r>
          </w:p>
        </w:tc>
        <w:tc>
          <w:tcPr>
            <w:tcW w:w="7095" w:type="dxa"/>
            <w:shd w:val="clear" w:color="auto" w:fill="FFFFFF" w:themeFill="background1"/>
          </w:tcPr>
          <w:p w14:paraId="769091EF" w14:textId="7E587FEA" w:rsidR="00655222" w:rsidRDefault="00655222" w:rsidP="00842FD7">
            <w:r>
              <w:t>Program does not meet the viability standard.</w:t>
            </w:r>
          </w:p>
        </w:tc>
      </w:tr>
      <w:tr w:rsidR="00842FD7" w14:paraId="4B2352B5" w14:textId="77777777" w:rsidTr="00967F1C">
        <w:trPr>
          <w:trHeight w:val="70"/>
        </w:trPr>
        <w:tc>
          <w:tcPr>
            <w:tcW w:w="3330" w:type="dxa"/>
            <w:vAlign w:val="center"/>
          </w:tcPr>
          <w:p w14:paraId="19AF38B9" w14:textId="60131F6D" w:rsidR="00842FD7" w:rsidRPr="00967F1C" w:rsidRDefault="00842FD7" w:rsidP="00842FD7">
            <w:pPr>
              <w:rPr>
                <w:b/>
                <w:bCs/>
                <w:smallCaps/>
              </w:rPr>
            </w:pPr>
            <w:r w:rsidRPr="00967F1C">
              <w:rPr>
                <w:b/>
                <w:bCs/>
                <w:smallCaps/>
              </w:rPr>
              <w:t>Non-Viable Warning</w:t>
            </w:r>
          </w:p>
        </w:tc>
        <w:tc>
          <w:tcPr>
            <w:tcW w:w="1005" w:type="dxa"/>
          </w:tcPr>
          <w:p w14:paraId="031CF866" w14:textId="33F7D08A" w:rsidR="00842FD7" w:rsidRPr="00967F1C" w:rsidRDefault="004E49EF" w:rsidP="00842FD7">
            <w:pPr>
              <w:jc w:val="center"/>
            </w:pPr>
            <w:r w:rsidRPr="00967F1C">
              <w:t>W</w:t>
            </w:r>
            <w:r w:rsidR="00CE5C38" w:rsidRPr="00967F1C">
              <w:t>1|W2</w:t>
            </w:r>
          </w:p>
        </w:tc>
        <w:tc>
          <w:tcPr>
            <w:tcW w:w="7095" w:type="dxa"/>
          </w:tcPr>
          <w:p w14:paraId="4882AEC2" w14:textId="52EC07DF" w:rsidR="00842FD7" w:rsidRPr="00967F1C" w:rsidRDefault="00842FD7" w:rsidP="00842FD7">
            <w:r w:rsidRPr="00967F1C">
              <w:t xml:space="preserve">Program has been non-viable for </w:t>
            </w:r>
            <w:r w:rsidR="00D81BA4" w:rsidRPr="00967F1C">
              <w:t>one (1)</w:t>
            </w:r>
            <w:r w:rsidR="003E2887" w:rsidRPr="00967F1C">
              <w:t xml:space="preserve"> or two (2)</w:t>
            </w:r>
            <w:r w:rsidR="00D81BA4" w:rsidRPr="00967F1C">
              <w:t>, 3-year average</w:t>
            </w:r>
            <w:r w:rsidR="003E2887" w:rsidRPr="00967F1C">
              <w:t>s</w:t>
            </w:r>
            <w:r w:rsidR="00B21411" w:rsidRPr="00967F1C">
              <w:t xml:space="preserve"> and will be labeled as W1 for non-viable</w:t>
            </w:r>
            <w:r w:rsidR="001D2B4D" w:rsidRPr="00967F1C">
              <w:t>, year 1; W2 for non-viable year 2</w:t>
            </w:r>
            <w:r w:rsidR="001940E5" w:rsidRPr="00967F1C">
              <w:t>.</w:t>
            </w:r>
          </w:p>
        </w:tc>
      </w:tr>
      <w:tr w:rsidR="00842FD7" w14:paraId="4B4FC280" w14:textId="77777777" w:rsidTr="00967F1C">
        <w:trPr>
          <w:trHeight w:val="70"/>
        </w:trPr>
        <w:tc>
          <w:tcPr>
            <w:tcW w:w="3330" w:type="dxa"/>
            <w:vAlign w:val="center"/>
          </w:tcPr>
          <w:p w14:paraId="3BEC977F" w14:textId="5BAA838C" w:rsidR="00842FD7" w:rsidRPr="00967F1C" w:rsidRDefault="00842FD7" w:rsidP="00842FD7">
            <w:pPr>
              <w:rPr>
                <w:b/>
                <w:bCs/>
                <w:smallCaps/>
              </w:rPr>
            </w:pPr>
            <w:r w:rsidRPr="00967F1C">
              <w:rPr>
                <w:b/>
                <w:bCs/>
                <w:smallCaps/>
              </w:rPr>
              <w:t xml:space="preserve">Non-Viable – Recommend </w:t>
            </w:r>
            <w:r w:rsidR="008B6957" w:rsidRPr="00967F1C">
              <w:rPr>
                <w:b/>
                <w:bCs/>
                <w:smallCaps/>
              </w:rPr>
              <w:t>for D</w:t>
            </w:r>
            <w:r w:rsidR="00C37834" w:rsidRPr="00967F1C">
              <w:rPr>
                <w:b/>
                <w:bCs/>
                <w:smallCaps/>
              </w:rPr>
              <w:t>eletion</w:t>
            </w:r>
          </w:p>
        </w:tc>
        <w:tc>
          <w:tcPr>
            <w:tcW w:w="1005" w:type="dxa"/>
          </w:tcPr>
          <w:p w14:paraId="2EF84B76" w14:textId="40D86B85" w:rsidR="00842FD7" w:rsidRPr="00967F1C" w:rsidRDefault="004E49EF" w:rsidP="00842FD7">
            <w:pPr>
              <w:jc w:val="center"/>
            </w:pPr>
            <w:r w:rsidRPr="00967F1C">
              <w:t>D</w:t>
            </w:r>
          </w:p>
        </w:tc>
        <w:tc>
          <w:tcPr>
            <w:tcW w:w="7095" w:type="dxa"/>
          </w:tcPr>
          <w:p w14:paraId="14C0C0A4" w14:textId="1CEEEC85" w:rsidR="00842FD7" w:rsidRPr="00967F1C" w:rsidRDefault="00842FD7" w:rsidP="00842FD7">
            <w:r w:rsidRPr="00967F1C">
              <w:t>Program has been non-viable for three (3) consecutive</w:t>
            </w:r>
            <w:r w:rsidR="005E4F7E" w:rsidRPr="00967F1C">
              <w:t>, 3-year averages</w:t>
            </w:r>
            <w:r w:rsidRPr="00967F1C">
              <w:t xml:space="preserve"> and will be </w:t>
            </w:r>
            <w:r w:rsidR="00CE5C38" w:rsidRPr="00967F1C">
              <w:t xml:space="preserve">recommended for </w:t>
            </w:r>
            <w:r w:rsidR="0042016B" w:rsidRPr="00967F1C">
              <w:t>delet</w:t>
            </w:r>
            <w:r w:rsidR="00CE5C38" w:rsidRPr="00967F1C">
              <w:t>ion</w:t>
            </w:r>
            <w:r w:rsidRPr="00967F1C">
              <w:t xml:space="preserve"> from the </w:t>
            </w:r>
            <w:r w:rsidR="00CE5C38" w:rsidRPr="00967F1C">
              <w:t>AHECB A</w:t>
            </w:r>
            <w:r w:rsidRPr="00967F1C">
              <w:t xml:space="preserve">pproved </w:t>
            </w:r>
            <w:r w:rsidR="001960A9" w:rsidRPr="00967F1C">
              <w:t xml:space="preserve">Degree </w:t>
            </w:r>
            <w:r w:rsidR="00CE5C38" w:rsidRPr="00967F1C">
              <w:t>P</w:t>
            </w:r>
            <w:r w:rsidRPr="00967F1C">
              <w:t>rograms list.</w:t>
            </w:r>
          </w:p>
        </w:tc>
      </w:tr>
      <w:tr w:rsidR="00FE44C5" w14:paraId="1A5D42B6" w14:textId="77777777" w:rsidTr="00CE5C38">
        <w:trPr>
          <w:trHeight w:val="71"/>
        </w:trPr>
        <w:tc>
          <w:tcPr>
            <w:tcW w:w="3330" w:type="dxa"/>
            <w:shd w:val="clear" w:color="auto" w:fill="2F5496" w:themeFill="accent1" w:themeFillShade="BF"/>
            <w:vAlign w:val="center"/>
          </w:tcPr>
          <w:p w14:paraId="03B35973" w14:textId="7774E932" w:rsidR="00906A91" w:rsidRPr="00F130D0" w:rsidRDefault="00906A91" w:rsidP="00906A91">
            <w:pPr>
              <w:jc w:val="center"/>
              <w:rPr>
                <w:b/>
                <w:bCs/>
                <w:smallCaps/>
                <w:color w:val="FFFFFF" w:themeColor="background1"/>
                <w:sz w:val="24"/>
                <w:szCs w:val="24"/>
              </w:rPr>
            </w:pPr>
            <w:r w:rsidRPr="40417B1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Removal</w:t>
            </w:r>
            <w:r w:rsidR="00C76017" w:rsidRPr="40417B1B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 xml:space="preserve"> Justification</w:t>
            </w:r>
          </w:p>
        </w:tc>
        <w:tc>
          <w:tcPr>
            <w:tcW w:w="1005" w:type="dxa"/>
            <w:shd w:val="clear" w:color="auto" w:fill="2F5496" w:themeFill="accent1" w:themeFillShade="BF"/>
            <w:vAlign w:val="center"/>
          </w:tcPr>
          <w:p w14:paraId="127B3D23" w14:textId="785A3288" w:rsidR="00906A91" w:rsidRPr="00F130D0" w:rsidRDefault="00906A91" w:rsidP="00906A91">
            <w:pPr>
              <w:spacing w:line="259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F130D0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Code</w:t>
            </w:r>
            <w:r w:rsidR="009B125C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7095" w:type="dxa"/>
            <w:shd w:val="clear" w:color="auto" w:fill="2F5496" w:themeFill="accent1" w:themeFillShade="BF"/>
            <w:vAlign w:val="center"/>
          </w:tcPr>
          <w:p w14:paraId="1CE52F93" w14:textId="4518BEE7" w:rsidR="00906A91" w:rsidRPr="00F130D0" w:rsidRDefault="00906A91" w:rsidP="00906A9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130D0">
              <w:rPr>
                <w:b/>
                <w:bCs/>
                <w:smallCaps/>
                <w:color w:val="FFFFFF" w:themeColor="background1"/>
                <w:sz w:val="24"/>
                <w:szCs w:val="24"/>
              </w:rPr>
              <w:t>Definitions</w:t>
            </w:r>
          </w:p>
        </w:tc>
      </w:tr>
      <w:tr w:rsidR="00906A91" w14:paraId="5D8DE3A6" w14:textId="77777777" w:rsidTr="00CE5C38">
        <w:trPr>
          <w:trHeight w:val="593"/>
        </w:trPr>
        <w:tc>
          <w:tcPr>
            <w:tcW w:w="3330" w:type="dxa"/>
            <w:vAlign w:val="center"/>
          </w:tcPr>
          <w:p w14:paraId="4246FC5B" w14:textId="65A710B9" w:rsidR="00906A91" w:rsidRDefault="0018428E" w:rsidP="0018428E">
            <w:pPr>
              <w:rPr>
                <w:b/>
                <w:bCs/>
                <w:smallCaps/>
              </w:rPr>
            </w:pPr>
            <w:r w:rsidRPr="27A0DFB1">
              <w:rPr>
                <w:b/>
                <w:bCs/>
                <w:smallCaps/>
              </w:rPr>
              <w:t>Reduction of Viability Standard</w:t>
            </w:r>
          </w:p>
        </w:tc>
        <w:tc>
          <w:tcPr>
            <w:tcW w:w="1005" w:type="dxa"/>
          </w:tcPr>
          <w:p w14:paraId="05643FAC" w14:textId="1102A4EE" w:rsidR="00906A91" w:rsidRDefault="00906A91" w:rsidP="00906A91">
            <w:pPr>
              <w:jc w:val="center"/>
            </w:pPr>
            <w:r>
              <w:t>1</w:t>
            </w:r>
          </w:p>
        </w:tc>
        <w:tc>
          <w:tcPr>
            <w:tcW w:w="7095" w:type="dxa"/>
          </w:tcPr>
          <w:p w14:paraId="12897752" w14:textId="7125D21F" w:rsidR="00906A91" w:rsidRDefault="001940E5" w:rsidP="00906A91">
            <w:r>
              <w:t>Institutions request</w:t>
            </w:r>
            <w:r w:rsidR="0018428E">
              <w:t xml:space="preserve"> a reduction in viability standards for programs crucial to the institution's role, scope, and mission. Evidence must be provided.</w:t>
            </w:r>
          </w:p>
        </w:tc>
      </w:tr>
      <w:tr w:rsidR="00906A91" w14:paraId="7F82CC9F" w14:textId="77777777" w:rsidTr="00CE5C38">
        <w:tc>
          <w:tcPr>
            <w:tcW w:w="3330" w:type="dxa"/>
            <w:vAlign w:val="center"/>
          </w:tcPr>
          <w:p w14:paraId="030BCCEF" w14:textId="77777777" w:rsidR="00906A91" w:rsidRDefault="00906A91" w:rsidP="00906A91">
            <w:pPr>
              <w:rPr>
                <w:b/>
                <w:bCs/>
                <w:i/>
                <w:iCs/>
                <w:smallCaps/>
              </w:rPr>
            </w:pPr>
            <w:r w:rsidRPr="27A0DFB1">
              <w:rPr>
                <w:b/>
                <w:bCs/>
                <w:smallCaps/>
              </w:rPr>
              <w:t xml:space="preserve">Cognate | </w:t>
            </w:r>
            <w:r w:rsidRPr="0031079E">
              <w:rPr>
                <w:b/>
                <w:bCs/>
                <w:smallCaps/>
              </w:rPr>
              <w:t>Shared Courses</w:t>
            </w:r>
          </w:p>
          <w:p w14:paraId="0211869C" w14:textId="1C154B94" w:rsidR="00906A91" w:rsidRPr="0031079E" w:rsidRDefault="00906A91" w:rsidP="00906A91">
            <w:pPr>
              <w:rPr>
                <w:b/>
                <w:bCs/>
                <w:smallCaps/>
              </w:rPr>
            </w:pPr>
            <w:r w:rsidRPr="0031079E">
              <w:rPr>
                <w:b/>
                <w:bCs/>
                <w:smallCaps/>
              </w:rPr>
              <w:t>(Not CIP codes)</w:t>
            </w:r>
          </w:p>
        </w:tc>
        <w:tc>
          <w:tcPr>
            <w:tcW w:w="1005" w:type="dxa"/>
          </w:tcPr>
          <w:p w14:paraId="7565BABA" w14:textId="0183D033" w:rsidR="00906A91" w:rsidRDefault="00906A91" w:rsidP="00906A91">
            <w:pPr>
              <w:jc w:val="center"/>
            </w:pPr>
            <w:r>
              <w:t>2</w:t>
            </w:r>
          </w:p>
        </w:tc>
        <w:tc>
          <w:tcPr>
            <w:tcW w:w="7095" w:type="dxa"/>
          </w:tcPr>
          <w:p w14:paraId="5AB96A48" w14:textId="62CEDA63" w:rsidR="00906A91" w:rsidRDefault="00906A91" w:rsidP="00906A91">
            <w:r>
              <w:t xml:space="preserve">Institution requests to cognate programs </w:t>
            </w:r>
            <w:r w:rsidR="001B4155">
              <w:t>based on</w:t>
            </w:r>
            <w:r>
              <w:t xml:space="preserve"> shared courses</w:t>
            </w:r>
            <w:r w:rsidR="0081628F">
              <w:t>,</w:t>
            </w:r>
            <w:r>
              <w:t xml:space="preserve"> even though the programs have different CIP codes. Cognate programs are considered one (1) program for viability purposes.</w:t>
            </w:r>
          </w:p>
        </w:tc>
      </w:tr>
      <w:tr w:rsidR="00906A91" w14:paraId="482C56B1" w14:textId="77777777" w:rsidTr="00CE5C38">
        <w:tc>
          <w:tcPr>
            <w:tcW w:w="3330" w:type="dxa"/>
            <w:vAlign w:val="center"/>
          </w:tcPr>
          <w:p w14:paraId="31CA0063" w14:textId="648CDFE4" w:rsidR="00906A91" w:rsidRPr="27A0DFB1" w:rsidRDefault="00906A91" w:rsidP="00906A91">
            <w:pPr>
              <w:rPr>
                <w:b/>
                <w:bCs/>
                <w:smallCaps/>
              </w:rPr>
            </w:pPr>
            <w:r w:rsidRPr="27A0DFB1">
              <w:rPr>
                <w:b/>
                <w:bCs/>
                <w:smallCaps/>
              </w:rPr>
              <w:t>Reconfiguration | Restructure</w:t>
            </w:r>
          </w:p>
        </w:tc>
        <w:tc>
          <w:tcPr>
            <w:tcW w:w="1005" w:type="dxa"/>
          </w:tcPr>
          <w:p w14:paraId="2D7DA996" w14:textId="560EA9D8" w:rsidR="00906A91" w:rsidRDefault="00906A91" w:rsidP="00906A91">
            <w:pPr>
              <w:jc w:val="center"/>
            </w:pPr>
            <w:r>
              <w:t>3</w:t>
            </w:r>
          </w:p>
        </w:tc>
        <w:tc>
          <w:tcPr>
            <w:tcW w:w="7095" w:type="dxa"/>
          </w:tcPr>
          <w:p w14:paraId="48DFAE3E" w14:textId="65387A4C" w:rsidR="00906A91" w:rsidRDefault="00906A91" w:rsidP="00906A91">
            <w:r>
              <w:t>CAO requests to reconfigure/restructure a program’s curriculum to realign with industry/program needs.</w:t>
            </w:r>
            <w:r w:rsidR="009070C3">
              <w:t xml:space="preserve">  Must be completed within 3 AHECB meetings after a “non-viable” program label.</w:t>
            </w:r>
          </w:p>
        </w:tc>
      </w:tr>
      <w:tr w:rsidR="00906A91" w14:paraId="33F49225" w14:textId="77777777" w:rsidTr="00CE5C38">
        <w:tc>
          <w:tcPr>
            <w:tcW w:w="3330" w:type="dxa"/>
            <w:vAlign w:val="center"/>
          </w:tcPr>
          <w:p w14:paraId="5B51E370" w14:textId="75DF7C01" w:rsidR="00906A91" w:rsidRPr="0031079E" w:rsidRDefault="00906A91" w:rsidP="00906A91">
            <w:pPr>
              <w:rPr>
                <w:b/>
                <w:bCs/>
                <w:smallCaps/>
              </w:rPr>
            </w:pPr>
            <w:r w:rsidRPr="0031079E">
              <w:rPr>
                <w:b/>
                <w:bCs/>
                <w:smallCaps/>
              </w:rPr>
              <w:t>Shared Program Faculty</w:t>
            </w:r>
          </w:p>
        </w:tc>
        <w:tc>
          <w:tcPr>
            <w:tcW w:w="1005" w:type="dxa"/>
          </w:tcPr>
          <w:p w14:paraId="6F8F1A20" w14:textId="12597FA7" w:rsidR="00906A91" w:rsidRDefault="00906A91" w:rsidP="00906A91">
            <w:pPr>
              <w:jc w:val="center"/>
            </w:pPr>
            <w:r>
              <w:t>4</w:t>
            </w:r>
          </w:p>
        </w:tc>
        <w:tc>
          <w:tcPr>
            <w:tcW w:w="7095" w:type="dxa"/>
          </w:tcPr>
          <w:p w14:paraId="5FEA20AE" w14:textId="23D0DB3A" w:rsidR="00906A91" w:rsidRDefault="00906A91" w:rsidP="00906A91">
            <w:r>
              <w:t>Faculty are shared between similar programs of study; therefore, no additional funds are needed for the non-viable program.</w:t>
            </w:r>
          </w:p>
        </w:tc>
      </w:tr>
      <w:tr w:rsidR="00906A91" w14:paraId="161A57DD" w14:textId="77777777" w:rsidTr="00CE5C38">
        <w:trPr>
          <w:trHeight w:val="300"/>
        </w:trPr>
        <w:tc>
          <w:tcPr>
            <w:tcW w:w="3330" w:type="dxa"/>
            <w:vAlign w:val="center"/>
          </w:tcPr>
          <w:p w14:paraId="0918FED0" w14:textId="57107502" w:rsidR="00906A91" w:rsidRDefault="00906A91" w:rsidP="00906A91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O</w:t>
            </w:r>
            <w:r w:rsidRPr="27A0DFB1">
              <w:rPr>
                <w:b/>
                <w:bCs/>
                <w:smallCaps/>
              </w:rPr>
              <w:t>n-</w:t>
            </w:r>
            <w:r>
              <w:rPr>
                <w:b/>
                <w:bCs/>
                <w:smallCaps/>
              </w:rPr>
              <w:t>D</w:t>
            </w:r>
            <w:r w:rsidRPr="27A0DFB1">
              <w:rPr>
                <w:b/>
                <w:bCs/>
                <w:smallCaps/>
              </w:rPr>
              <w:t>emand</w:t>
            </w:r>
            <w:r>
              <w:rPr>
                <w:b/>
                <w:bCs/>
                <w:smallCaps/>
              </w:rPr>
              <w:t xml:space="preserve"> Program</w:t>
            </w:r>
          </w:p>
        </w:tc>
        <w:tc>
          <w:tcPr>
            <w:tcW w:w="1005" w:type="dxa"/>
          </w:tcPr>
          <w:p w14:paraId="52F63D83" w14:textId="75B971CC" w:rsidR="00906A91" w:rsidRDefault="00906A91" w:rsidP="00906A91">
            <w:pPr>
              <w:jc w:val="center"/>
            </w:pPr>
            <w:r>
              <w:t>5</w:t>
            </w:r>
          </w:p>
        </w:tc>
        <w:tc>
          <w:tcPr>
            <w:tcW w:w="7095" w:type="dxa"/>
          </w:tcPr>
          <w:p w14:paraId="249A8E24" w14:textId="6F8F3592" w:rsidR="00906A91" w:rsidRDefault="00906A91" w:rsidP="00906A91">
            <w:r>
              <w:t xml:space="preserve">Programs which are only offered periodically when either student and/or industry demand is sufficient to fully support the program offering. </w:t>
            </w:r>
          </w:p>
        </w:tc>
      </w:tr>
      <w:tr w:rsidR="00906A91" w14:paraId="4B76B976" w14:textId="77777777" w:rsidTr="00CE5C38">
        <w:tc>
          <w:tcPr>
            <w:tcW w:w="3330" w:type="dxa"/>
            <w:vAlign w:val="center"/>
          </w:tcPr>
          <w:p w14:paraId="7295DE32" w14:textId="7C763B49" w:rsidR="00013778" w:rsidRPr="0031079E" w:rsidRDefault="00906A91" w:rsidP="00013778">
            <w:pPr>
              <w:rPr>
                <w:b/>
                <w:bCs/>
                <w:smallCaps/>
              </w:rPr>
            </w:pPr>
            <w:r w:rsidRPr="27A0DFB1">
              <w:rPr>
                <w:b/>
                <w:bCs/>
                <w:smallCaps/>
              </w:rPr>
              <w:t>Inact</w:t>
            </w:r>
            <w:r w:rsidR="008F7F36">
              <w:rPr>
                <w:b/>
                <w:bCs/>
                <w:smallCaps/>
              </w:rPr>
              <w:t>i</w:t>
            </w:r>
            <w:r w:rsidR="00C65B18">
              <w:rPr>
                <w:b/>
                <w:bCs/>
                <w:smallCaps/>
              </w:rPr>
              <w:t>ve</w:t>
            </w:r>
            <w:r w:rsidR="00013778">
              <w:rPr>
                <w:b/>
                <w:bCs/>
                <w:smallCaps/>
              </w:rPr>
              <w:t xml:space="preserve"> | Institution Request</w:t>
            </w:r>
          </w:p>
        </w:tc>
        <w:tc>
          <w:tcPr>
            <w:tcW w:w="1005" w:type="dxa"/>
          </w:tcPr>
          <w:p w14:paraId="7A7A276F" w14:textId="57B2B141" w:rsidR="00906A91" w:rsidRDefault="00906A91" w:rsidP="00906A91">
            <w:pPr>
              <w:jc w:val="center"/>
            </w:pPr>
            <w:r>
              <w:t>6</w:t>
            </w:r>
          </w:p>
        </w:tc>
        <w:tc>
          <w:tcPr>
            <w:tcW w:w="7095" w:type="dxa"/>
          </w:tcPr>
          <w:p w14:paraId="3B47D685" w14:textId="52DC5113" w:rsidR="00906A91" w:rsidRDefault="00906A91" w:rsidP="00906A91">
            <w:r>
              <w:t xml:space="preserve">Institution </w:t>
            </w:r>
            <w:r w:rsidR="00115469">
              <w:t>requests</w:t>
            </w:r>
            <w:r>
              <w:t xml:space="preserve"> to inactivate </w:t>
            </w:r>
            <w:r w:rsidR="00C65B18">
              <w:t>a program</w:t>
            </w:r>
            <w:r>
              <w:t xml:space="preserve"> from their </w:t>
            </w:r>
            <w:r w:rsidR="00BD6260">
              <w:t>n</w:t>
            </w:r>
            <w:r w:rsidR="003C4AE0">
              <w:t>on-</w:t>
            </w:r>
            <w:r w:rsidR="00BD6260">
              <w:t>v</w:t>
            </w:r>
            <w:r w:rsidR="003C4AE0">
              <w:t xml:space="preserve">iable </w:t>
            </w:r>
            <w:r w:rsidR="00C65B18">
              <w:t xml:space="preserve">and/or approved degree </w:t>
            </w:r>
            <w:r w:rsidR="003C4AE0">
              <w:t>program list</w:t>
            </w:r>
            <w:r>
              <w:t>.</w:t>
            </w:r>
          </w:p>
        </w:tc>
      </w:tr>
      <w:tr w:rsidR="00290A60" w14:paraId="0344CE0B" w14:textId="77777777" w:rsidTr="00CE5C38">
        <w:tc>
          <w:tcPr>
            <w:tcW w:w="3330" w:type="dxa"/>
            <w:vAlign w:val="center"/>
          </w:tcPr>
          <w:p w14:paraId="07F0E9E2" w14:textId="05B346FE" w:rsidR="000575C5" w:rsidRPr="27A0DFB1" w:rsidRDefault="00290A60" w:rsidP="00906A91">
            <w:pPr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Delete</w:t>
            </w:r>
            <w:r w:rsidR="00013778">
              <w:rPr>
                <w:b/>
                <w:bCs/>
                <w:smallCaps/>
              </w:rPr>
              <w:t xml:space="preserve"> | Institution Request</w:t>
            </w:r>
          </w:p>
        </w:tc>
        <w:tc>
          <w:tcPr>
            <w:tcW w:w="1005" w:type="dxa"/>
          </w:tcPr>
          <w:p w14:paraId="404926D8" w14:textId="0657FB1D" w:rsidR="00290A60" w:rsidRDefault="00290A60" w:rsidP="00906A91">
            <w:pPr>
              <w:jc w:val="center"/>
            </w:pPr>
            <w:r>
              <w:t>7</w:t>
            </w:r>
          </w:p>
        </w:tc>
        <w:tc>
          <w:tcPr>
            <w:tcW w:w="7095" w:type="dxa"/>
          </w:tcPr>
          <w:p w14:paraId="5163F898" w14:textId="589B3C3A" w:rsidR="00290A60" w:rsidRDefault="00290A60" w:rsidP="00906A91">
            <w:r>
              <w:t>Institution requests to delete a program</w:t>
            </w:r>
            <w:r w:rsidR="008F7F36">
              <w:t xml:space="preserve"> </w:t>
            </w:r>
            <w:r>
              <w:t>from their non-viable and</w:t>
            </w:r>
            <w:r w:rsidR="000575C5">
              <w:t xml:space="preserve">/or approved </w:t>
            </w:r>
            <w:r w:rsidR="00C65B18">
              <w:t xml:space="preserve">degree </w:t>
            </w:r>
            <w:r w:rsidR="000575C5">
              <w:t>program list</w:t>
            </w:r>
            <w:r>
              <w:t>.</w:t>
            </w:r>
          </w:p>
        </w:tc>
      </w:tr>
      <w:tr w:rsidR="00EB5669" w14:paraId="05CB3129" w14:textId="77777777" w:rsidTr="00CE5C38">
        <w:tc>
          <w:tcPr>
            <w:tcW w:w="3330" w:type="dxa"/>
            <w:vAlign w:val="center"/>
          </w:tcPr>
          <w:p w14:paraId="183BBC11" w14:textId="70FB4597" w:rsidR="00EB5669" w:rsidRPr="27A0DFB1" w:rsidRDefault="00EB5669" w:rsidP="00EB5669">
            <w:pPr>
              <w:rPr>
                <w:b/>
                <w:bCs/>
                <w:smallCaps/>
              </w:rPr>
            </w:pPr>
            <w:r w:rsidRPr="27A0DFB1">
              <w:rPr>
                <w:b/>
                <w:bCs/>
                <w:smallCaps/>
              </w:rPr>
              <w:t>Feeder Programs</w:t>
            </w:r>
            <w:r w:rsidR="00DE21E5">
              <w:rPr>
                <w:b/>
                <w:bCs/>
                <w:smallCaps/>
              </w:rPr>
              <w:t xml:space="preserve"> | Similar Programs</w:t>
            </w:r>
          </w:p>
        </w:tc>
        <w:tc>
          <w:tcPr>
            <w:tcW w:w="1005" w:type="dxa"/>
          </w:tcPr>
          <w:p w14:paraId="46AA9731" w14:textId="035B813B" w:rsidR="00EB5669" w:rsidRDefault="00EB5669" w:rsidP="00EB5669">
            <w:pPr>
              <w:jc w:val="center"/>
            </w:pPr>
            <w:r>
              <w:t>8</w:t>
            </w:r>
          </w:p>
        </w:tc>
        <w:tc>
          <w:tcPr>
            <w:tcW w:w="7095" w:type="dxa"/>
          </w:tcPr>
          <w:p w14:paraId="1977036D" w14:textId="68795E9E" w:rsidR="00EB5669" w:rsidRDefault="00EB5669" w:rsidP="00EB5669">
            <w:r>
              <w:t>Programs in which a substantial amount of coursework, within a certain discipline, is shared and supports other programs. (Ex. Physics is a feeder program within an Engineering program.)</w:t>
            </w:r>
          </w:p>
        </w:tc>
      </w:tr>
      <w:tr w:rsidR="00EB5669" w14:paraId="67722E94" w14:textId="77777777" w:rsidTr="00CE5C38">
        <w:tc>
          <w:tcPr>
            <w:tcW w:w="3330" w:type="dxa"/>
            <w:vAlign w:val="center"/>
          </w:tcPr>
          <w:p w14:paraId="7FD600C3" w14:textId="401986E2" w:rsidR="00EB5669" w:rsidRPr="27A0DFB1" w:rsidRDefault="00EB5669" w:rsidP="00EB5669">
            <w:pPr>
              <w:rPr>
                <w:b/>
                <w:bCs/>
                <w:smallCaps/>
              </w:rPr>
            </w:pPr>
            <w:r w:rsidRPr="27A0DFB1">
              <w:rPr>
                <w:b/>
                <w:bCs/>
                <w:smallCaps/>
              </w:rPr>
              <w:t>Other</w:t>
            </w:r>
          </w:p>
        </w:tc>
        <w:tc>
          <w:tcPr>
            <w:tcW w:w="1005" w:type="dxa"/>
          </w:tcPr>
          <w:p w14:paraId="4FE8293B" w14:textId="2E585CBA" w:rsidR="00EB5669" w:rsidRDefault="00EB5669" w:rsidP="00EB5669">
            <w:pPr>
              <w:jc w:val="center"/>
            </w:pPr>
            <w:r>
              <w:t>0</w:t>
            </w:r>
          </w:p>
        </w:tc>
        <w:tc>
          <w:tcPr>
            <w:tcW w:w="7095" w:type="dxa"/>
          </w:tcPr>
          <w:p w14:paraId="1882A7F5" w14:textId="0EEA1022" w:rsidR="00EB5669" w:rsidRDefault="00EB5669" w:rsidP="00EB5669">
            <w:r>
              <w:t>Institution consortiums, Cosmetology Instructor Trainee programs, ADHE exemptions, Accreditor exemptions, etc.</w:t>
            </w:r>
          </w:p>
        </w:tc>
      </w:tr>
      <w:tr w:rsidR="00EB5669" w14:paraId="32A79671" w14:textId="77777777" w:rsidTr="00CE5C38">
        <w:tc>
          <w:tcPr>
            <w:tcW w:w="3330" w:type="dxa"/>
            <w:shd w:val="clear" w:color="auto" w:fill="FFFFFF" w:themeFill="background1"/>
            <w:vAlign w:val="center"/>
          </w:tcPr>
          <w:p w14:paraId="23E7D029" w14:textId="2E243E52" w:rsidR="00EB5669" w:rsidRPr="00EA7A83" w:rsidRDefault="00EB5669" w:rsidP="00EB5669">
            <w:pPr>
              <w:rPr>
                <w:b/>
                <w:bCs/>
                <w:smallCaps/>
              </w:rPr>
            </w:pPr>
            <w:r w:rsidRPr="00EA7A83">
              <w:rPr>
                <w:b/>
                <w:bCs/>
                <w:smallCaps/>
              </w:rPr>
              <w:t>High Demand</w:t>
            </w:r>
          </w:p>
          <w:p w14:paraId="45E2F029" w14:textId="77777777" w:rsidR="00EB5669" w:rsidRPr="00EA7A83" w:rsidRDefault="00EB5669" w:rsidP="00EB5669">
            <w:pPr>
              <w:rPr>
                <w:b/>
                <w:bCs/>
                <w:smallCaps/>
              </w:rPr>
            </w:pPr>
          </w:p>
          <w:p w14:paraId="24B5AF66" w14:textId="48861C18" w:rsidR="00EB5669" w:rsidRPr="00EA7A83" w:rsidRDefault="00EB5669" w:rsidP="00EB5669">
            <w:pPr>
              <w:rPr>
                <w:b/>
                <w:bCs/>
                <w:smallCaps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69169320" w14:textId="19970687" w:rsidR="00EB5669" w:rsidRPr="00EA7A83" w:rsidRDefault="00EA7A83" w:rsidP="00EB5669">
            <w:pPr>
              <w:jc w:val="center"/>
            </w:pPr>
            <w:r>
              <w:t>9</w:t>
            </w:r>
          </w:p>
        </w:tc>
        <w:tc>
          <w:tcPr>
            <w:tcW w:w="7095" w:type="dxa"/>
            <w:shd w:val="clear" w:color="auto" w:fill="FFFFFF" w:themeFill="background1"/>
          </w:tcPr>
          <w:p w14:paraId="22171FDF" w14:textId="4ACA66F2" w:rsidR="00EB5669" w:rsidRPr="00EA7A83" w:rsidRDefault="00EB5669" w:rsidP="00EB5669">
            <w:r w:rsidRPr="00EA7A83">
              <w:t>Programs which are declared “high demand” by the Department of Workforce Services (DWS), state-wide regional workforce demands, and institutional high demands.</w:t>
            </w:r>
          </w:p>
        </w:tc>
      </w:tr>
    </w:tbl>
    <w:p w14:paraId="3E9C98A0" w14:textId="77777777" w:rsidR="007B3700" w:rsidRPr="007B3700" w:rsidRDefault="007B3700" w:rsidP="007B3700"/>
    <w:sectPr w:rsidR="007B3700" w:rsidRPr="007B3700" w:rsidSect="007566E9">
      <w:footerReference w:type="default" r:id="rId9"/>
      <w:pgSz w:w="12240" w:h="15840"/>
      <w:pgMar w:top="432" w:right="720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4B05" w14:textId="77777777" w:rsidR="00074F38" w:rsidRDefault="00074F38" w:rsidP="00B96105">
      <w:pPr>
        <w:spacing w:after="0" w:line="240" w:lineRule="auto"/>
      </w:pPr>
      <w:r>
        <w:separator/>
      </w:r>
    </w:p>
  </w:endnote>
  <w:endnote w:type="continuationSeparator" w:id="0">
    <w:p w14:paraId="0729B4D7" w14:textId="77777777" w:rsidR="00074F38" w:rsidRDefault="00074F38" w:rsidP="00B96105">
      <w:pPr>
        <w:spacing w:after="0" w:line="240" w:lineRule="auto"/>
      </w:pPr>
      <w:r>
        <w:continuationSeparator/>
      </w:r>
    </w:p>
  </w:endnote>
  <w:endnote w:type="continuationNotice" w:id="1">
    <w:p w14:paraId="5B12B7A3" w14:textId="77777777" w:rsidR="00074F38" w:rsidRDefault="00074F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88B7" w14:textId="30323F97" w:rsidR="00B96105" w:rsidRPr="00B237B2" w:rsidRDefault="001960A9">
    <w:pPr>
      <w:pStyle w:val="Footer"/>
      <w:rPr>
        <w:sz w:val="16"/>
        <w:szCs w:val="16"/>
      </w:rPr>
    </w:pPr>
    <w:r>
      <w:rPr>
        <w:sz w:val="16"/>
        <w:szCs w:val="16"/>
      </w:rPr>
      <w:t>9/19/25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BB379" w14:textId="77777777" w:rsidR="00074F38" w:rsidRDefault="00074F38" w:rsidP="00B96105">
      <w:pPr>
        <w:spacing w:after="0" w:line="240" w:lineRule="auto"/>
      </w:pPr>
      <w:r>
        <w:separator/>
      </w:r>
    </w:p>
  </w:footnote>
  <w:footnote w:type="continuationSeparator" w:id="0">
    <w:p w14:paraId="7721BB61" w14:textId="77777777" w:rsidR="00074F38" w:rsidRDefault="00074F38" w:rsidP="00B96105">
      <w:pPr>
        <w:spacing w:after="0" w:line="240" w:lineRule="auto"/>
      </w:pPr>
      <w:r>
        <w:continuationSeparator/>
      </w:r>
    </w:p>
  </w:footnote>
  <w:footnote w:type="continuationNotice" w:id="1">
    <w:p w14:paraId="7CA0FF98" w14:textId="77777777" w:rsidR="00074F38" w:rsidRDefault="00074F3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4B"/>
    <w:rsid w:val="000013FF"/>
    <w:rsid w:val="00013778"/>
    <w:rsid w:val="0005555A"/>
    <w:rsid w:val="000575C5"/>
    <w:rsid w:val="00074F38"/>
    <w:rsid w:val="00090EE6"/>
    <w:rsid w:val="000C4ACA"/>
    <w:rsid w:val="000D4036"/>
    <w:rsid w:val="00115469"/>
    <w:rsid w:val="001262B6"/>
    <w:rsid w:val="00154E9D"/>
    <w:rsid w:val="0018428E"/>
    <w:rsid w:val="00186A55"/>
    <w:rsid w:val="001940E5"/>
    <w:rsid w:val="00195088"/>
    <w:rsid w:val="001960A9"/>
    <w:rsid w:val="001A67FE"/>
    <w:rsid w:val="001B0616"/>
    <w:rsid w:val="001B3CAC"/>
    <w:rsid w:val="001B4155"/>
    <w:rsid w:val="001B5BDC"/>
    <w:rsid w:val="001C291D"/>
    <w:rsid w:val="001C42B6"/>
    <w:rsid w:val="001D2B4D"/>
    <w:rsid w:val="001E6578"/>
    <w:rsid w:val="001F40DF"/>
    <w:rsid w:val="00201B08"/>
    <w:rsid w:val="00220B45"/>
    <w:rsid w:val="00230DCF"/>
    <w:rsid w:val="00235059"/>
    <w:rsid w:val="0026071C"/>
    <w:rsid w:val="002879C3"/>
    <w:rsid w:val="00290A60"/>
    <w:rsid w:val="00292607"/>
    <w:rsid w:val="002B2BE0"/>
    <w:rsid w:val="002B6C42"/>
    <w:rsid w:val="002C7302"/>
    <w:rsid w:val="0031079E"/>
    <w:rsid w:val="00314BD5"/>
    <w:rsid w:val="00314C4E"/>
    <w:rsid w:val="003250B6"/>
    <w:rsid w:val="00327217"/>
    <w:rsid w:val="00332390"/>
    <w:rsid w:val="0035567F"/>
    <w:rsid w:val="0035732F"/>
    <w:rsid w:val="00362808"/>
    <w:rsid w:val="0036436C"/>
    <w:rsid w:val="00371DCF"/>
    <w:rsid w:val="003A4F75"/>
    <w:rsid w:val="003A71C4"/>
    <w:rsid w:val="003A725C"/>
    <w:rsid w:val="003A7C53"/>
    <w:rsid w:val="003C236C"/>
    <w:rsid w:val="003C4AE0"/>
    <w:rsid w:val="003D2768"/>
    <w:rsid w:val="003E2887"/>
    <w:rsid w:val="003F394C"/>
    <w:rsid w:val="00416C57"/>
    <w:rsid w:val="0042016B"/>
    <w:rsid w:val="004264E8"/>
    <w:rsid w:val="00427632"/>
    <w:rsid w:val="00455E60"/>
    <w:rsid w:val="004B4F03"/>
    <w:rsid w:val="004E49EF"/>
    <w:rsid w:val="004F70F5"/>
    <w:rsid w:val="00536293"/>
    <w:rsid w:val="005466B9"/>
    <w:rsid w:val="005471B8"/>
    <w:rsid w:val="005676C6"/>
    <w:rsid w:val="00567C78"/>
    <w:rsid w:val="00572BB3"/>
    <w:rsid w:val="005A52A0"/>
    <w:rsid w:val="005C4D75"/>
    <w:rsid w:val="005E4F7E"/>
    <w:rsid w:val="00605A1D"/>
    <w:rsid w:val="00616437"/>
    <w:rsid w:val="0062378B"/>
    <w:rsid w:val="006508F4"/>
    <w:rsid w:val="00655222"/>
    <w:rsid w:val="00677B81"/>
    <w:rsid w:val="00692A6A"/>
    <w:rsid w:val="006A7390"/>
    <w:rsid w:val="006D3A31"/>
    <w:rsid w:val="00712D57"/>
    <w:rsid w:val="007277D3"/>
    <w:rsid w:val="007566E9"/>
    <w:rsid w:val="0078330E"/>
    <w:rsid w:val="00792EC7"/>
    <w:rsid w:val="00794B8D"/>
    <w:rsid w:val="007B3700"/>
    <w:rsid w:val="007B4871"/>
    <w:rsid w:val="007C1F89"/>
    <w:rsid w:val="007C295E"/>
    <w:rsid w:val="007C5B0A"/>
    <w:rsid w:val="007D7EBC"/>
    <w:rsid w:val="007F4771"/>
    <w:rsid w:val="007F57C6"/>
    <w:rsid w:val="0081628F"/>
    <w:rsid w:val="00817484"/>
    <w:rsid w:val="00827FE6"/>
    <w:rsid w:val="00842FD7"/>
    <w:rsid w:val="00850675"/>
    <w:rsid w:val="00850DDB"/>
    <w:rsid w:val="00860621"/>
    <w:rsid w:val="00866AF2"/>
    <w:rsid w:val="00894066"/>
    <w:rsid w:val="008B540F"/>
    <w:rsid w:val="008B6957"/>
    <w:rsid w:val="008C3D0B"/>
    <w:rsid w:val="008F7F36"/>
    <w:rsid w:val="00906A91"/>
    <w:rsid w:val="009070C3"/>
    <w:rsid w:val="0095034E"/>
    <w:rsid w:val="0095449A"/>
    <w:rsid w:val="00967106"/>
    <w:rsid w:val="00967F1C"/>
    <w:rsid w:val="00985F72"/>
    <w:rsid w:val="00990916"/>
    <w:rsid w:val="009A6F03"/>
    <w:rsid w:val="009B125C"/>
    <w:rsid w:val="009B7C99"/>
    <w:rsid w:val="009C0F21"/>
    <w:rsid w:val="009C68EF"/>
    <w:rsid w:val="009D1FD7"/>
    <w:rsid w:val="009F33EE"/>
    <w:rsid w:val="00A12B4E"/>
    <w:rsid w:val="00A27BA9"/>
    <w:rsid w:val="00A31A68"/>
    <w:rsid w:val="00A41896"/>
    <w:rsid w:val="00A60731"/>
    <w:rsid w:val="00A671C6"/>
    <w:rsid w:val="00A70F0C"/>
    <w:rsid w:val="00A72593"/>
    <w:rsid w:val="00AD5658"/>
    <w:rsid w:val="00AE4BA9"/>
    <w:rsid w:val="00B005D9"/>
    <w:rsid w:val="00B030BF"/>
    <w:rsid w:val="00B12EF9"/>
    <w:rsid w:val="00B145A4"/>
    <w:rsid w:val="00B14CD7"/>
    <w:rsid w:val="00B21411"/>
    <w:rsid w:val="00B237B2"/>
    <w:rsid w:val="00B35689"/>
    <w:rsid w:val="00B46C71"/>
    <w:rsid w:val="00B848C1"/>
    <w:rsid w:val="00B87B4B"/>
    <w:rsid w:val="00B96105"/>
    <w:rsid w:val="00BA2259"/>
    <w:rsid w:val="00BD6260"/>
    <w:rsid w:val="00BE38CB"/>
    <w:rsid w:val="00BF551E"/>
    <w:rsid w:val="00C005B7"/>
    <w:rsid w:val="00C02DFA"/>
    <w:rsid w:val="00C062BA"/>
    <w:rsid w:val="00C06F5E"/>
    <w:rsid w:val="00C37834"/>
    <w:rsid w:val="00C47147"/>
    <w:rsid w:val="00C5006C"/>
    <w:rsid w:val="00C65B18"/>
    <w:rsid w:val="00C74ADD"/>
    <w:rsid w:val="00C76017"/>
    <w:rsid w:val="00CA61A6"/>
    <w:rsid w:val="00CE5C38"/>
    <w:rsid w:val="00CF3013"/>
    <w:rsid w:val="00D47833"/>
    <w:rsid w:val="00D5446F"/>
    <w:rsid w:val="00D64751"/>
    <w:rsid w:val="00D81BA4"/>
    <w:rsid w:val="00D95118"/>
    <w:rsid w:val="00D95138"/>
    <w:rsid w:val="00DA5855"/>
    <w:rsid w:val="00DA5FBE"/>
    <w:rsid w:val="00DE21E5"/>
    <w:rsid w:val="00DE29E4"/>
    <w:rsid w:val="00E2799B"/>
    <w:rsid w:val="00E50B1C"/>
    <w:rsid w:val="00E513FF"/>
    <w:rsid w:val="00E6290D"/>
    <w:rsid w:val="00E84566"/>
    <w:rsid w:val="00E8705F"/>
    <w:rsid w:val="00E95BAE"/>
    <w:rsid w:val="00EA4ED8"/>
    <w:rsid w:val="00EA7463"/>
    <w:rsid w:val="00EA7A83"/>
    <w:rsid w:val="00EB5669"/>
    <w:rsid w:val="00EE5732"/>
    <w:rsid w:val="00F01167"/>
    <w:rsid w:val="00F130D0"/>
    <w:rsid w:val="00F21092"/>
    <w:rsid w:val="00F328B1"/>
    <w:rsid w:val="00F4082D"/>
    <w:rsid w:val="00F41874"/>
    <w:rsid w:val="00F55EEA"/>
    <w:rsid w:val="00F64154"/>
    <w:rsid w:val="00F71A26"/>
    <w:rsid w:val="00F96CAF"/>
    <w:rsid w:val="00FC46A7"/>
    <w:rsid w:val="00FE2D19"/>
    <w:rsid w:val="00FE44C5"/>
    <w:rsid w:val="00FF17B3"/>
    <w:rsid w:val="00FF3B0E"/>
    <w:rsid w:val="0121AB4B"/>
    <w:rsid w:val="01DFB4C1"/>
    <w:rsid w:val="029B0B6F"/>
    <w:rsid w:val="029FB2FE"/>
    <w:rsid w:val="0373A325"/>
    <w:rsid w:val="03B3F5E5"/>
    <w:rsid w:val="03E9C173"/>
    <w:rsid w:val="0555E89B"/>
    <w:rsid w:val="05D2AC31"/>
    <w:rsid w:val="0665E760"/>
    <w:rsid w:val="06FD06D1"/>
    <w:rsid w:val="07001E0C"/>
    <w:rsid w:val="09D19E49"/>
    <w:rsid w:val="0C69720B"/>
    <w:rsid w:val="0DFD01FE"/>
    <w:rsid w:val="0EE17D46"/>
    <w:rsid w:val="11EFF96E"/>
    <w:rsid w:val="11F3743F"/>
    <w:rsid w:val="16FD1561"/>
    <w:rsid w:val="17CFB736"/>
    <w:rsid w:val="18C05032"/>
    <w:rsid w:val="1BC8E96D"/>
    <w:rsid w:val="21E52718"/>
    <w:rsid w:val="26433C5E"/>
    <w:rsid w:val="26C2736F"/>
    <w:rsid w:val="26E146CB"/>
    <w:rsid w:val="2711FAA0"/>
    <w:rsid w:val="27A0DFB1"/>
    <w:rsid w:val="28E619A5"/>
    <w:rsid w:val="2A81EA06"/>
    <w:rsid w:val="2B61FDBB"/>
    <w:rsid w:val="2B6FE13C"/>
    <w:rsid w:val="2C1DBA67"/>
    <w:rsid w:val="2D2FA5DD"/>
    <w:rsid w:val="2DFEE65E"/>
    <w:rsid w:val="2E950725"/>
    <w:rsid w:val="2EF71022"/>
    <w:rsid w:val="2F3C00F6"/>
    <w:rsid w:val="2FAFC667"/>
    <w:rsid w:val="30D7D157"/>
    <w:rsid w:val="31588F27"/>
    <w:rsid w:val="31AC21EB"/>
    <w:rsid w:val="31FB91BC"/>
    <w:rsid w:val="3487503F"/>
    <w:rsid w:val="355BCF4A"/>
    <w:rsid w:val="35CC686F"/>
    <w:rsid w:val="37A5C8A4"/>
    <w:rsid w:val="3956A8AD"/>
    <w:rsid w:val="39C04137"/>
    <w:rsid w:val="3B641305"/>
    <w:rsid w:val="3C7939C7"/>
    <w:rsid w:val="3D105ADF"/>
    <w:rsid w:val="3D8653E7"/>
    <w:rsid w:val="3E587818"/>
    <w:rsid w:val="3F06C9B8"/>
    <w:rsid w:val="3FD86041"/>
    <w:rsid w:val="40370523"/>
    <w:rsid w:val="40417B1B"/>
    <w:rsid w:val="41549870"/>
    <w:rsid w:val="41791C87"/>
    <w:rsid w:val="42406DDD"/>
    <w:rsid w:val="4314ECE8"/>
    <w:rsid w:val="4368B829"/>
    <w:rsid w:val="4369F60B"/>
    <w:rsid w:val="43CA64CC"/>
    <w:rsid w:val="442B3021"/>
    <w:rsid w:val="46280993"/>
    <w:rsid w:val="4658353B"/>
    <w:rsid w:val="47BFC13F"/>
    <w:rsid w:val="48968704"/>
    <w:rsid w:val="48D52363"/>
    <w:rsid w:val="48E306E4"/>
    <w:rsid w:val="4A9A23C9"/>
    <w:rsid w:val="4B75A717"/>
    <w:rsid w:val="4BCE27C6"/>
    <w:rsid w:val="4C015208"/>
    <w:rsid w:val="4C86C20C"/>
    <w:rsid w:val="4E2F02C3"/>
    <w:rsid w:val="4F05C888"/>
    <w:rsid w:val="4F1EF0E5"/>
    <w:rsid w:val="4F4B2D6C"/>
    <w:rsid w:val="4FAA03BF"/>
    <w:rsid w:val="4FF36FF0"/>
    <w:rsid w:val="501259C9"/>
    <w:rsid w:val="50DB0995"/>
    <w:rsid w:val="513BDB00"/>
    <w:rsid w:val="514D7B28"/>
    <w:rsid w:val="517617F4"/>
    <w:rsid w:val="52EBC4F5"/>
    <w:rsid w:val="53068C9B"/>
    <w:rsid w:val="539BCB9B"/>
    <w:rsid w:val="54851BEA"/>
    <w:rsid w:val="54A11C45"/>
    <w:rsid w:val="5543CC40"/>
    <w:rsid w:val="56498917"/>
    <w:rsid w:val="5793D989"/>
    <w:rsid w:val="57BCBCAC"/>
    <w:rsid w:val="585738D8"/>
    <w:rsid w:val="58E6C239"/>
    <w:rsid w:val="59F1B2EC"/>
    <w:rsid w:val="5ABEA673"/>
    <w:rsid w:val="5B07B2A9"/>
    <w:rsid w:val="5D99FD43"/>
    <w:rsid w:val="5E2BFE30"/>
    <w:rsid w:val="5F807025"/>
    <w:rsid w:val="5FC7CE91"/>
    <w:rsid w:val="61639EF2"/>
    <w:rsid w:val="616B8C78"/>
    <w:rsid w:val="62FF6F53"/>
    <w:rsid w:val="63075CD9"/>
    <w:rsid w:val="63433752"/>
    <w:rsid w:val="64178372"/>
    <w:rsid w:val="64A32D3A"/>
    <w:rsid w:val="64A85B33"/>
    <w:rsid w:val="64CBCA06"/>
    <w:rsid w:val="65C3F3D4"/>
    <w:rsid w:val="66371015"/>
    <w:rsid w:val="66556887"/>
    <w:rsid w:val="677259AD"/>
    <w:rsid w:val="68927593"/>
    <w:rsid w:val="68CABC1E"/>
    <w:rsid w:val="695B15AC"/>
    <w:rsid w:val="6A06E2EC"/>
    <w:rsid w:val="6CF9C85C"/>
    <w:rsid w:val="6D86851A"/>
    <w:rsid w:val="6D9E8D65"/>
    <w:rsid w:val="6DD77941"/>
    <w:rsid w:val="6E22B169"/>
    <w:rsid w:val="6E721A40"/>
    <w:rsid w:val="6FA6822E"/>
    <w:rsid w:val="70C0ECD9"/>
    <w:rsid w:val="71FE9004"/>
    <w:rsid w:val="72A44F54"/>
    <w:rsid w:val="72EFA3E0"/>
    <w:rsid w:val="795CF68B"/>
    <w:rsid w:val="79FB4E22"/>
    <w:rsid w:val="7B1B5C05"/>
    <w:rsid w:val="7CC462E9"/>
    <w:rsid w:val="7E5D3B80"/>
    <w:rsid w:val="7E60334A"/>
    <w:rsid w:val="7F3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157C"/>
  <w15:chartTrackingRefBased/>
  <w15:docId w15:val="{9AA1DC12-BF64-4529-9733-076D00A4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6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105"/>
  </w:style>
  <w:style w:type="paragraph" w:styleId="Footer">
    <w:name w:val="footer"/>
    <w:basedOn w:val="Normal"/>
    <w:link w:val="FooterChar"/>
    <w:uiPriority w:val="99"/>
    <w:unhideWhenUsed/>
    <w:rsid w:val="00B96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89e11-2f3c-4070-9ad9-cc7ef75586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90E6EA3A48A41A280E962A053D42A" ma:contentTypeVersion="16" ma:contentTypeDescription="Create a new document." ma:contentTypeScope="" ma:versionID="b439d57c341493ff05f6275da0560a50">
  <xsd:schema xmlns:xsd="http://www.w3.org/2001/XMLSchema" xmlns:xs="http://www.w3.org/2001/XMLSchema" xmlns:p="http://schemas.microsoft.com/office/2006/metadata/properties" xmlns:ns2="7c889e11-2f3c-4070-9ad9-cc7ef75586e0" xmlns:ns3="9d03e1ac-f987-41d7-975b-a23ada2fae32" targetNamespace="http://schemas.microsoft.com/office/2006/metadata/properties" ma:root="true" ma:fieldsID="b7e2724376bf95abf66151fe2d5ceac5" ns2:_="" ns3:_="">
    <xsd:import namespace="7c889e11-2f3c-4070-9ad9-cc7ef75586e0"/>
    <xsd:import namespace="9d03e1ac-f987-41d7-975b-a23ada2fa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9e11-2f3c-4070-9ad9-cc7ef7558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a1e848-1c7d-447e-9610-0128f4aa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e1ac-f987-41d7-975b-a23ada2fa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819AC-62E1-437F-B357-F1D8D05D15D2}">
  <ds:schemaRefs>
    <ds:schemaRef ds:uri="http://schemas.microsoft.com/office/2006/metadata/properties"/>
    <ds:schemaRef ds:uri="http://schemas.microsoft.com/office/infopath/2007/PartnerControls"/>
    <ds:schemaRef ds:uri="7c889e11-2f3c-4070-9ad9-cc7ef75586e0"/>
  </ds:schemaRefs>
</ds:datastoreItem>
</file>

<file path=customXml/itemProps2.xml><?xml version="1.0" encoding="utf-8"?>
<ds:datastoreItem xmlns:ds="http://schemas.openxmlformats.org/officeDocument/2006/customXml" ds:itemID="{517C7E31-F0EF-4B9F-92B3-E4E427454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89e11-2f3c-4070-9ad9-cc7ef75586e0"/>
    <ds:schemaRef ds:uri="9d03e1ac-f987-41d7-975b-a23ada2fa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4AF630-CE73-4861-ABC5-643C602B2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2497</Characters>
  <Application>Microsoft Office Word</Application>
  <DocSecurity>0</DocSecurity>
  <Lines>85</Lines>
  <Paragraphs>58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Long (ADHE)</dc:creator>
  <cp:keywords/>
  <dc:description/>
  <cp:lastModifiedBy>Kimberly Long (ADHE)</cp:lastModifiedBy>
  <cp:revision>13</cp:revision>
  <cp:lastPrinted>2024-10-18T16:35:00Z</cp:lastPrinted>
  <dcterms:created xsi:type="dcterms:W3CDTF">2025-09-19T19:42:00Z</dcterms:created>
  <dcterms:modified xsi:type="dcterms:W3CDTF">2025-10-22T21:20:00Z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0x010100C1990E6EA3A48A41A280E962A053D42A</vt:lpwstr>
  </property>
  <property fmtid="{D5CDD505-2E9C-101B-9397-08002B2CF9AE}" pid="3" name="MediaServiceImageTags">
    <vt:lpwstr/>
  </property>
</Properties>
</file>